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0" w:rsidRPr="00DB5400" w:rsidRDefault="00DB5400" w:rsidP="00DB5400">
      <w:pPr>
        <w:spacing w:after="240" w:line="3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D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"http://www.consultant.ru/document/cons_doc_LAW_355921/" </w:instrText>
      </w:r>
      <w:r w:rsidRPr="00D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D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DB54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несены изменения в Правила разработки месторождений углеводородного сырья </w:t>
      </w:r>
      <w:r w:rsidRPr="00D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DB5400" w:rsidRPr="00DB5400" w:rsidRDefault="00DB5400" w:rsidP="00DB5400">
      <w:pPr>
        <w:spacing w:after="240" w:line="300" w:lineRule="atLeast"/>
        <w:ind w:firstLine="708"/>
        <w:jc w:val="both"/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</w:pPr>
      <w:r w:rsidRPr="00DB5400"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>Приказ</w:t>
      </w:r>
      <w:r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>ом</w:t>
      </w:r>
      <w:r w:rsidRPr="00DB5400"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>инприроды России от 19.06.2020 №</w:t>
      </w:r>
      <w:r w:rsidRPr="00DB5400"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 xml:space="preserve"> 368</w:t>
      </w:r>
      <w:r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 xml:space="preserve"> внесены изменения</w:t>
      </w:r>
      <w:r w:rsidRPr="00DB5400"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 xml:space="preserve"> в Правила разработки месторождений углеводородного сырья, утвержденные Приказом Минпри</w:t>
      </w:r>
      <w:r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>роды России от 14 июня 2016 г. № 356.</w:t>
      </w:r>
    </w:p>
    <w:p w:rsidR="00DB5400" w:rsidRPr="00DB5400" w:rsidRDefault="00DB5400" w:rsidP="00DB5400">
      <w:pPr>
        <w:spacing w:after="240" w:line="300" w:lineRule="atLeast"/>
        <w:ind w:firstLine="708"/>
        <w:jc w:val="both"/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</w:pPr>
      <w:proofErr w:type="spellStart"/>
      <w:r w:rsidRPr="00DB5400"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>Недропользователям</w:t>
      </w:r>
      <w:proofErr w:type="spellEnd"/>
      <w:r w:rsidRPr="00DB5400">
        <w:rPr>
          <w:rFonts w:ascii="PT Sans" w:eastAsia="Times New Roman" w:hAnsi="PT Sans" w:cs="Arial"/>
          <w:bCs/>
          <w:color w:val="000000" w:themeColor="text1"/>
          <w:sz w:val="28"/>
          <w:szCs w:val="28"/>
          <w:lang w:eastAsia="ru-RU"/>
        </w:rPr>
        <w:t xml:space="preserve"> предоставлена возможность оперативной корректировки фактической годовой добычи нефти или свободного газа</w:t>
      </w:r>
    </w:p>
    <w:p w:rsidR="00DB5400" w:rsidRPr="00DB5400" w:rsidRDefault="00DB5400" w:rsidP="00DB5400">
      <w:pPr>
        <w:spacing w:after="240" w:line="300" w:lineRule="atLeast"/>
        <w:ind w:firstLine="708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proofErr w:type="gramStart"/>
      <w:r w:rsidRPr="00DB5400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Установлено, что на период до конца 2020 года и на период подготовки и согласования новой проектной документации или дополнения к утвержденной проектной документации допускаются отклонения фактической годовой добычи нефти и (или) свободного газа по месторождению углеводородов в сторону уменьшения от проектной величины сверх установленных допустимых отклонений на основании письменного уведомления пользователя недр.</w:t>
      </w:r>
      <w:proofErr w:type="gramEnd"/>
    </w:p>
    <w:p w:rsidR="00DB5400" w:rsidRPr="00DB5400" w:rsidRDefault="00DB5400" w:rsidP="00DB5400">
      <w:pPr>
        <w:spacing w:after="240" w:line="300" w:lineRule="atLeast"/>
        <w:ind w:firstLine="708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DB5400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Уведомление представляется в </w:t>
      </w:r>
      <w:proofErr w:type="spellStart"/>
      <w:r w:rsidRPr="00DB5400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Роснедра</w:t>
      </w:r>
      <w:proofErr w:type="spellEnd"/>
      <w:r w:rsidRPr="00DB5400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 до 1 декабря 2020 года. Агентство в течение 30 календарных дней со дня получения уведомления либо осуществляет его регистрацию и информирует об этом </w:t>
      </w:r>
      <w:proofErr w:type="spellStart"/>
      <w:r w:rsidRPr="00DB5400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недропользователя</w:t>
      </w:r>
      <w:proofErr w:type="spellEnd"/>
      <w:r w:rsidRPr="00DB5400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, либо отказывает в регистрации. Указаны основания для отказа в регистрации уведомления.</w:t>
      </w:r>
      <w:bookmarkStart w:id="0" w:name="_GoBack"/>
      <w:bookmarkEnd w:id="0"/>
    </w:p>
    <w:sectPr w:rsidR="00DB5400" w:rsidRPr="00D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2"/>
    <w:rsid w:val="00395BB2"/>
    <w:rsid w:val="005C1302"/>
    <w:rsid w:val="00D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Керчьприрода3</dc:creator>
  <cp:keywords/>
  <dc:description/>
  <cp:lastModifiedBy>Керчьприрода3</cp:lastModifiedBy>
  <cp:revision>2</cp:revision>
  <dcterms:created xsi:type="dcterms:W3CDTF">2020-07-03T07:59:00Z</dcterms:created>
  <dcterms:modified xsi:type="dcterms:W3CDTF">2020-07-03T08:03:00Z</dcterms:modified>
</cp:coreProperties>
</file>